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F2F1" w14:textId="244CD48E" w:rsidR="00623267" w:rsidRDefault="00C55BFD" w:rsidP="00CD6D3B">
      <w:pPr>
        <w:jc w:val="center"/>
      </w:pPr>
      <w:r>
        <w:rPr>
          <w:noProof/>
        </w:rPr>
        <w:drawing>
          <wp:inline distT="0" distB="0" distL="0" distR="0" wp14:anchorId="207C5419" wp14:editId="6A88AAF5">
            <wp:extent cx="4709843"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28872" cy="2840355"/>
                    </a:xfrm>
                    <a:prstGeom prst="rect">
                      <a:avLst/>
                    </a:prstGeom>
                  </pic:spPr>
                </pic:pic>
              </a:graphicData>
            </a:graphic>
          </wp:inline>
        </w:drawing>
      </w:r>
    </w:p>
    <w:p w14:paraId="4E834468" w14:textId="77777777" w:rsidR="00E52348" w:rsidRDefault="00E52348" w:rsidP="00CD6D3B">
      <w:pPr>
        <w:jc w:val="center"/>
      </w:pPr>
    </w:p>
    <w:tbl>
      <w:tblPr>
        <w:tblStyle w:val="TableGrid"/>
        <w:tblW w:w="10440" w:type="dxa"/>
        <w:tblInd w:w="-545" w:type="dxa"/>
        <w:tblLook w:val="04A0" w:firstRow="1" w:lastRow="0" w:firstColumn="1" w:lastColumn="0" w:noHBand="0" w:noVBand="1"/>
      </w:tblPr>
      <w:tblGrid>
        <w:gridCol w:w="2250"/>
        <w:gridCol w:w="8190"/>
      </w:tblGrid>
      <w:tr w:rsidR="00170D99" w14:paraId="1A0C8BDE" w14:textId="05A22175" w:rsidTr="00170D99">
        <w:tc>
          <w:tcPr>
            <w:tcW w:w="2250" w:type="dxa"/>
          </w:tcPr>
          <w:p w14:paraId="3F1DB1A6" w14:textId="0097A9DB" w:rsidR="00170D99" w:rsidRPr="007C6E39" w:rsidRDefault="00170D99">
            <w:pPr>
              <w:rPr>
                <w:b/>
                <w:bCs/>
              </w:rPr>
            </w:pPr>
            <w:r>
              <w:rPr>
                <w:b/>
                <w:bCs/>
              </w:rPr>
              <w:t>8</w:t>
            </w:r>
            <w:r w:rsidRPr="007C6E39">
              <w:rPr>
                <w:b/>
                <w:bCs/>
              </w:rPr>
              <w:t>:</w:t>
            </w:r>
            <w:r>
              <w:rPr>
                <w:b/>
                <w:bCs/>
              </w:rPr>
              <w:t>0</w:t>
            </w:r>
            <w:r w:rsidRPr="007C6E39">
              <w:rPr>
                <w:b/>
                <w:bCs/>
              </w:rPr>
              <w:t xml:space="preserve">0 am – </w:t>
            </w:r>
            <w:r>
              <w:rPr>
                <w:b/>
                <w:bCs/>
              </w:rPr>
              <w:t>8</w:t>
            </w:r>
            <w:r w:rsidRPr="007C6E39">
              <w:rPr>
                <w:b/>
                <w:bCs/>
              </w:rPr>
              <w:t>:45 am</w:t>
            </w:r>
          </w:p>
        </w:tc>
        <w:tc>
          <w:tcPr>
            <w:tcW w:w="8190" w:type="dxa"/>
            <w:shd w:val="clear" w:color="auto" w:fill="auto"/>
          </w:tcPr>
          <w:p w14:paraId="713504F8" w14:textId="09437ACF" w:rsidR="00170D99" w:rsidRPr="001F1852" w:rsidRDefault="00170D99">
            <w:pPr>
              <w:rPr>
                <w:b/>
                <w:bCs/>
                <w:color w:val="4472C4" w:themeColor="accent1"/>
              </w:rPr>
            </w:pPr>
            <w:r w:rsidRPr="001F1852">
              <w:rPr>
                <w:b/>
                <w:bCs/>
                <w:color w:val="4472C4" w:themeColor="accent1"/>
              </w:rPr>
              <w:t>Pre-Conference Networking Opportunities (Conference Log-In)</w:t>
            </w:r>
          </w:p>
        </w:tc>
      </w:tr>
      <w:tr w:rsidR="00170D99" w14:paraId="35B4FAE9" w14:textId="2D769F6E" w:rsidTr="00170D99">
        <w:tc>
          <w:tcPr>
            <w:tcW w:w="2250" w:type="dxa"/>
          </w:tcPr>
          <w:p w14:paraId="490B2099" w14:textId="798F0654" w:rsidR="00170D99" w:rsidRPr="007C6E39" w:rsidRDefault="00170D99">
            <w:pPr>
              <w:rPr>
                <w:b/>
                <w:bCs/>
              </w:rPr>
            </w:pPr>
            <w:r>
              <w:rPr>
                <w:b/>
                <w:bCs/>
              </w:rPr>
              <w:t>8</w:t>
            </w:r>
            <w:r w:rsidRPr="007C6E39">
              <w:rPr>
                <w:b/>
                <w:bCs/>
              </w:rPr>
              <w:t>:</w:t>
            </w:r>
            <w:r>
              <w:rPr>
                <w:b/>
                <w:bCs/>
              </w:rPr>
              <w:t>45</w:t>
            </w:r>
            <w:r w:rsidRPr="007C6E39">
              <w:rPr>
                <w:b/>
                <w:bCs/>
              </w:rPr>
              <w:t xml:space="preserve"> am – </w:t>
            </w:r>
            <w:r>
              <w:rPr>
                <w:b/>
                <w:bCs/>
              </w:rPr>
              <w:t>9</w:t>
            </w:r>
            <w:r w:rsidRPr="007C6E39">
              <w:rPr>
                <w:b/>
                <w:bCs/>
              </w:rPr>
              <w:t>:0</w:t>
            </w:r>
            <w:r>
              <w:rPr>
                <w:b/>
                <w:bCs/>
              </w:rPr>
              <w:t>5</w:t>
            </w:r>
            <w:r w:rsidRPr="007C6E39">
              <w:rPr>
                <w:b/>
                <w:bCs/>
              </w:rPr>
              <w:t xml:space="preserve"> am</w:t>
            </w:r>
          </w:p>
        </w:tc>
        <w:tc>
          <w:tcPr>
            <w:tcW w:w="8190" w:type="dxa"/>
            <w:shd w:val="clear" w:color="auto" w:fill="auto"/>
          </w:tcPr>
          <w:p w14:paraId="4AEE5EBB" w14:textId="0E451C7E" w:rsidR="00170D99" w:rsidRPr="001F1852" w:rsidRDefault="00170D99">
            <w:pPr>
              <w:rPr>
                <w:b/>
                <w:bCs/>
                <w:color w:val="4472C4" w:themeColor="accent1"/>
              </w:rPr>
            </w:pPr>
            <w:r w:rsidRPr="001F1852">
              <w:rPr>
                <w:b/>
                <w:bCs/>
                <w:color w:val="4472C4" w:themeColor="accent1"/>
              </w:rPr>
              <w:t>Welcome and Conference Kick-Off</w:t>
            </w:r>
          </w:p>
        </w:tc>
      </w:tr>
      <w:tr w:rsidR="00170D99" w14:paraId="47CD7809" w14:textId="3281E9FA" w:rsidTr="00170D99">
        <w:tc>
          <w:tcPr>
            <w:tcW w:w="2250" w:type="dxa"/>
            <w:vMerge w:val="restart"/>
            <w:vAlign w:val="center"/>
          </w:tcPr>
          <w:p w14:paraId="13E18B48" w14:textId="4403A774" w:rsidR="00170D99" w:rsidRPr="007C6E39" w:rsidRDefault="00170D99" w:rsidP="007C6E39">
            <w:pPr>
              <w:jc w:val="center"/>
              <w:rPr>
                <w:b/>
                <w:bCs/>
              </w:rPr>
            </w:pPr>
            <w:r>
              <w:rPr>
                <w:b/>
                <w:bCs/>
              </w:rPr>
              <w:t>9</w:t>
            </w:r>
            <w:r w:rsidRPr="007C6E39">
              <w:rPr>
                <w:b/>
                <w:bCs/>
              </w:rPr>
              <w:t>:0</w:t>
            </w:r>
            <w:r>
              <w:rPr>
                <w:b/>
                <w:bCs/>
              </w:rPr>
              <w:t>5</w:t>
            </w:r>
            <w:r w:rsidRPr="007C6E39">
              <w:rPr>
                <w:b/>
                <w:bCs/>
              </w:rPr>
              <w:t xml:space="preserve"> am – 1</w:t>
            </w:r>
            <w:r>
              <w:rPr>
                <w:b/>
                <w:bCs/>
              </w:rPr>
              <w:t>0</w:t>
            </w:r>
            <w:r w:rsidRPr="007C6E39">
              <w:rPr>
                <w:b/>
                <w:bCs/>
              </w:rPr>
              <w:t>:0</w:t>
            </w:r>
            <w:r>
              <w:rPr>
                <w:b/>
                <w:bCs/>
              </w:rPr>
              <w:t>5</w:t>
            </w:r>
            <w:r w:rsidRPr="007C6E39">
              <w:rPr>
                <w:b/>
                <w:bCs/>
              </w:rPr>
              <w:t xml:space="preserve"> am</w:t>
            </w:r>
          </w:p>
        </w:tc>
        <w:tc>
          <w:tcPr>
            <w:tcW w:w="8190" w:type="dxa"/>
            <w:shd w:val="clear" w:color="auto" w:fill="4472C4" w:themeFill="accent1"/>
          </w:tcPr>
          <w:p w14:paraId="48657F50" w14:textId="74FD7ED0" w:rsidR="00170D99" w:rsidRDefault="00170D99" w:rsidP="00F711F4">
            <w:pPr>
              <w:rPr>
                <w:b/>
                <w:bCs/>
                <w:color w:val="FFFFFF" w:themeColor="background1"/>
              </w:rPr>
            </w:pPr>
            <w:r w:rsidRPr="00F711F4">
              <w:rPr>
                <w:b/>
                <w:bCs/>
                <w:i/>
                <w:iCs/>
                <w:color w:val="FFFFFF" w:themeColor="background1"/>
              </w:rPr>
              <w:t> </w:t>
            </w:r>
            <w:r w:rsidRPr="00F711F4">
              <w:rPr>
                <w:b/>
                <w:bCs/>
                <w:color w:val="FFFFFF" w:themeColor="background1"/>
              </w:rPr>
              <w:t>I Don’t Know What I Don’t Know: Improving Fundraiser Relations Through Needs Assessment</w:t>
            </w:r>
          </w:p>
          <w:p w14:paraId="41E93726" w14:textId="3535D19E" w:rsidR="00170D99" w:rsidRPr="00F711F4" w:rsidRDefault="00170D99">
            <w:pPr>
              <w:rPr>
                <w:color w:val="FFFFFF" w:themeColor="background1"/>
              </w:rPr>
            </w:pPr>
            <w:r w:rsidRPr="00F711F4">
              <w:rPr>
                <w:i/>
                <w:iCs/>
                <w:color w:val="FFFFFF" w:themeColor="background1"/>
              </w:rPr>
              <w:t>Rachael Walker, Director of Research &amp; Reporting, Western Carolina University </w:t>
            </w:r>
          </w:p>
          <w:p w14:paraId="4EA91668" w14:textId="689E17B0" w:rsidR="00170D99" w:rsidRPr="002B248D" w:rsidRDefault="00170D99">
            <w:pPr>
              <w:rPr>
                <w:b/>
                <w:bCs/>
                <w:color w:val="FFFFFF" w:themeColor="background1"/>
              </w:rPr>
            </w:pPr>
          </w:p>
        </w:tc>
      </w:tr>
      <w:tr w:rsidR="00170D99" w14:paraId="535123E4" w14:textId="5CBF6127" w:rsidTr="00170D99">
        <w:tc>
          <w:tcPr>
            <w:tcW w:w="2250" w:type="dxa"/>
            <w:vMerge/>
          </w:tcPr>
          <w:p w14:paraId="3082CC75" w14:textId="11BD5D9F" w:rsidR="00170D99" w:rsidRPr="007C6E39" w:rsidRDefault="00170D99">
            <w:pPr>
              <w:rPr>
                <w:b/>
                <w:bCs/>
              </w:rPr>
            </w:pPr>
          </w:p>
        </w:tc>
        <w:tc>
          <w:tcPr>
            <w:tcW w:w="8190" w:type="dxa"/>
          </w:tcPr>
          <w:p w14:paraId="2D44F80B" w14:textId="77777777" w:rsidR="00170D99" w:rsidRPr="00F711F4" w:rsidRDefault="00170D99" w:rsidP="00F711F4">
            <w:r w:rsidRPr="00F711F4">
              <w:t xml:space="preserve">One prospect researcher in a large development office thought she was just working on an independent study for her MLIS. What she was </w:t>
            </w:r>
            <w:proofErr w:type="gramStart"/>
            <w:r w:rsidRPr="00F711F4">
              <w:t>actually doing</w:t>
            </w:r>
            <w:proofErr w:type="gramEnd"/>
            <w:r w:rsidRPr="00F711F4">
              <w:t xml:space="preserve"> was repairing long-damaged relationships between prospect research and frontline fundraisers. In this case study of a needs assessment process, find out what she learned about what works, what doesn’t, and what a big difference listening can make.</w:t>
            </w:r>
          </w:p>
          <w:p w14:paraId="24EA8085" w14:textId="386E7244" w:rsidR="00170D99" w:rsidRPr="00F711F4" w:rsidRDefault="00170D99" w:rsidP="00C55BFD"/>
        </w:tc>
      </w:tr>
      <w:tr w:rsidR="00170D99" w14:paraId="13D34252" w14:textId="3299F79B" w:rsidTr="00170D99">
        <w:tc>
          <w:tcPr>
            <w:tcW w:w="2250" w:type="dxa"/>
          </w:tcPr>
          <w:p w14:paraId="6ADAB6CB" w14:textId="224D118D" w:rsidR="00170D99" w:rsidRPr="007C6E39" w:rsidRDefault="00170D99">
            <w:pPr>
              <w:rPr>
                <w:b/>
                <w:bCs/>
              </w:rPr>
            </w:pPr>
            <w:r w:rsidRPr="007C6E39">
              <w:rPr>
                <w:b/>
                <w:bCs/>
              </w:rPr>
              <w:t>1</w:t>
            </w:r>
            <w:r>
              <w:rPr>
                <w:b/>
                <w:bCs/>
              </w:rPr>
              <w:t>0</w:t>
            </w:r>
            <w:r w:rsidRPr="007C6E39">
              <w:rPr>
                <w:b/>
                <w:bCs/>
              </w:rPr>
              <w:t>:0</w:t>
            </w:r>
            <w:r>
              <w:rPr>
                <w:b/>
                <w:bCs/>
              </w:rPr>
              <w:t>5</w:t>
            </w:r>
            <w:r w:rsidRPr="007C6E39">
              <w:rPr>
                <w:b/>
                <w:bCs/>
              </w:rPr>
              <w:t xml:space="preserve"> am – 1</w:t>
            </w:r>
            <w:r>
              <w:rPr>
                <w:b/>
                <w:bCs/>
              </w:rPr>
              <w:t>0</w:t>
            </w:r>
            <w:r w:rsidRPr="007C6E39">
              <w:rPr>
                <w:b/>
                <w:bCs/>
              </w:rPr>
              <w:t>:15 am</w:t>
            </w:r>
          </w:p>
        </w:tc>
        <w:tc>
          <w:tcPr>
            <w:tcW w:w="8190" w:type="dxa"/>
          </w:tcPr>
          <w:p w14:paraId="63A38933" w14:textId="65117C02" w:rsidR="00170D99" w:rsidRPr="007C6E39" w:rsidRDefault="00170D99" w:rsidP="002B248D">
            <w:pPr>
              <w:rPr>
                <w:b/>
                <w:bCs/>
              </w:rPr>
            </w:pPr>
            <w:r w:rsidRPr="007C6E39">
              <w:rPr>
                <w:b/>
                <w:bCs/>
              </w:rPr>
              <w:t>Break</w:t>
            </w:r>
          </w:p>
        </w:tc>
      </w:tr>
      <w:tr w:rsidR="00170D99" w14:paraId="063C999A" w14:textId="02386CE9" w:rsidTr="00170D99">
        <w:tc>
          <w:tcPr>
            <w:tcW w:w="2250" w:type="dxa"/>
            <w:vMerge w:val="restart"/>
            <w:vAlign w:val="center"/>
          </w:tcPr>
          <w:p w14:paraId="2AA400A2" w14:textId="160A2248" w:rsidR="00170D99" w:rsidRPr="007C6E39" w:rsidRDefault="00170D99" w:rsidP="007C6E39">
            <w:pPr>
              <w:jc w:val="center"/>
              <w:rPr>
                <w:b/>
                <w:bCs/>
              </w:rPr>
            </w:pPr>
            <w:r w:rsidRPr="007C6E39">
              <w:rPr>
                <w:b/>
                <w:bCs/>
              </w:rPr>
              <w:t>1</w:t>
            </w:r>
            <w:r>
              <w:rPr>
                <w:b/>
                <w:bCs/>
              </w:rPr>
              <w:t>0</w:t>
            </w:r>
            <w:r w:rsidRPr="007C6E39">
              <w:rPr>
                <w:b/>
                <w:bCs/>
              </w:rPr>
              <w:t>:15 am – 1</w:t>
            </w:r>
            <w:r>
              <w:rPr>
                <w:b/>
                <w:bCs/>
              </w:rPr>
              <w:t>1</w:t>
            </w:r>
            <w:r w:rsidRPr="007C6E39">
              <w:rPr>
                <w:b/>
                <w:bCs/>
              </w:rPr>
              <w:t xml:space="preserve">:15 </w:t>
            </w:r>
            <w:r>
              <w:rPr>
                <w:b/>
                <w:bCs/>
              </w:rPr>
              <w:t>a</w:t>
            </w:r>
            <w:r w:rsidRPr="007C6E39">
              <w:rPr>
                <w:b/>
                <w:bCs/>
              </w:rPr>
              <w:t>m</w:t>
            </w:r>
          </w:p>
        </w:tc>
        <w:tc>
          <w:tcPr>
            <w:tcW w:w="8190" w:type="dxa"/>
            <w:shd w:val="clear" w:color="auto" w:fill="4472C4" w:themeFill="accent1"/>
          </w:tcPr>
          <w:p w14:paraId="03F30000" w14:textId="2C5671CB" w:rsidR="00170D99" w:rsidRDefault="00170D99" w:rsidP="002B248D">
            <w:pPr>
              <w:rPr>
                <w:b/>
                <w:bCs/>
                <w:color w:val="FFFFFF" w:themeColor="background1"/>
              </w:rPr>
            </w:pPr>
            <w:r>
              <w:rPr>
                <w:b/>
                <w:bCs/>
                <w:color w:val="FFFFFF" w:themeColor="background1"/>
              </w:rPr>
              <w:t>SESSION 2:</w:t>
            </w:r>
          </w:p>
          <w:p w14:paraId="6D9870E3" w14:textId="6BE1F26F" w:rsidR="00170D99" w:rsidRDefault="00170D99" w:rsidP="002B248D">
            <w:pPr>
              <w:rPr>
                <w:b/>
                <w:bCs/>
                <w:color w:val="FFFFFF" w:themeColor="background1"/>
              </w:rPr>
            </w:pPr>
            <w:r>
              <w:rPr>
                <w:b/>
                <w:bCs/>
                <w:color w:val="FFFFFF" w:themeColor="background1"/>
              </w:rPr>
              <w:t>Evolution of a Principal Gifts Program: Goals, Ongoing Evaluation and Collaboration</w:t>
            </w:r>
          </w:p>
          <w:p w14:paraId="2F8B5629" w14:textId="04A79CD9" w:rsidR="00170D99" w:rsidRDefault="00170D99" w:rsidP="002B248D">
            <w:pPr>
              <w:rPr>
                <w:i/>
                <w:iCs/>
                <w:color w:val="FFFFFF" w:themeColor="background1"/>
              </w:rPr>
            </w:pPr>
            <w:r>
              <w:rPr>
                <w:i/>
                <w:iCs/>
                <w:color w:val="FFFFFF" w:themeColor="background1"/>
              </w:rPr>
              <w:t>Jada Garrison</w:t>
            </w:r>
            <w:r w:rsidRPr="002B248D">
              <w:rPr>
                <w:i/>
                <w:iCs/>
                <w:color w:val="FFFFFF" w:themeColor="background1"/>
              </w:rPr>
              <w:t xml:space="preserve">, </w:t>
            </w:r>
            <w:r>
              <w:rPr>
                <w:i/>
                <w:iCs/>
                <w:color w:val="FFFFFF" w:themeColor="background1"/>
              </w:rPr>
              <w:t>Former Executive Director of Prospect Research, Management &amp; Analysis, The University of Texas at Austin</w:t>
            </w:r>
          </w:p>
          <w:p w14:paraId="279F9547" w14:textId="21963B25" w:rsidR="00170D99" w:rsidRPr="001562CE" w:rsidRDefault="00170D99" w:rsidP="002B248D">
            <w:pPr>
              <w:rPr>
                <w:i/>
                <w:iCs/>
                <w:color w:val="FFFFFF" w:themeColor="background1"/>
              </w:rPr>
            </w:pPr>
            <w:r>
              <w:rPr>
                <w:i/>
                <w:iCs/>
                <w:color w:val="FFFFFF" w:themeColor="background1"/>
              </w:rPr>
              <w:t>Karina Garcia, Research Analyst, The University of Texas at Austin</w:t>
            </w:r>
          </w:p>
          <w:p w14:paraId="70B90D35" w14:textId="77777777" w:rsidR="00170D99" w:rsidRDefault="00170D99"/>
        </w:tc>
      </w:tr>
      <w:tr w:rsidR="00170D99" w14:paraId="4B714E0B" w14:textId="0714265A" w:rsidTr="00170D99">
        <w:tc>
          <w:tcPr>
            <w:tcW w:w="2250" w:type="dxa"/>
            <w:vMerge/>
          </w:tcPr>
          <w:p w14:paraId="5DDD596C" w14:textId="77777777" w:rsidR="00170D99" w:rsidRPr="007C6E39" w:rsidRDefault="00170D99">
            <w:pPr>
              <w:rPr>
                <w:b/>
                <w:bCs/>
              </w:rPr>
            </w:pPr>
          </w:p>
        </w:tc>
        <w:tc>
          <w:tcPr>
            <w:tcW w:w="8190" w:type="dxa"/>
          </w:tcPr>
          <w:p w14:paraId="0FBC7215" w14:textId="1B8D7F1A" w:rsidR="00170D99" w:rsidRDefault="00170D99" w:rsidP="0004150B">
            <w:r>
              <w:t>Major and principal gift fundraising is at the heart of operations for most nonprofit programs. However, not each prospect type should be managed the same. In this session we will uncover how The University of Texas at Austin defines Principal Gifts-level prospects and the process it has developed to prioritize and track their movement through the fundraising cycle.</w:t>
            </w:r>
          </w:p>
        </w:tc>
      </w:tr>
      <w:tr w:rsidR="00170D99" w14:paraId="409760BB" w14:textId="221D728F" w:rsidTr="00170D99">
        <w:tc>
          <w:tcPr>
            <w:tcW w:w="2250" w:type="dxa"/>
          </w:tcPr>
          <w:p w14:paraId="54CBE199" w14:textId="612248C8" w:rsidR="00170D99" w:rsidRPr="007C6E39" w:rsidRDefault="00170D99">
            <w:pPr>
              <w:rPr>
                <w:b/>
                <w:bCs/>
              </w:rPr>
            </w:pPr>
            <w:r w:rsidRPr="007C6E39">
              <w:rPr>
                <w:b/>
                <w:bCs/>
              </w:rPr>
              <w:t>1</w:t>
            </w:r>
            <w:r>
              <w:rPr>
                <w:b/>
                <w:bCs/>
              </w:rPr>
              <w:t>1</w:t>
            </w:r>
            <w:r w:rsidRPr="007C6E39">
              <w:rPr>
                <w:b/>
                <w:bCs/>
              </w:rPr>
              <w:t>:15 pm -1</w:t>
            </w:r>
            <w:r>
              <w:rPr>
                <w:b/>
                <w:bCs/>
              </w:rPr>
              <w:t>1</w:t>
            </w:r>
            <w:r w:rsidRPr="007C6E39">
              <w:rPr>
                <w:b/>
                <w:bCs/>
              </w:rPr>
              <w:t>:</w:t>
            </w:r>
            <w:r>
              <w:rPr>
                <w:b/>
                <w:bCs/>
              </w:rPr>
              <w:t>45</w:t>
            </w:r>
            <w:r w:rsidRPr="007C6E39">
              <w:rPr>
                <w:b/>
                <w:bCs/>
              </w:rPr>
              <w:t xml:space="preserve"> pm</w:t>
            </w:r>
          </w:p>
        </w:tc>
        <w:tc>
          <w:tcPr>
            <w:tcW w:w="8190" w:type="dxa"/>
          </w:tcPr>
          <w:p w14:paraId="2C9A901D" w14:textId="437BABF7" w:rsidR="00170D99" w:rsidRPr="001F1852" w:rsidRDefault="00170D99">
            <w:pPr>
              <w:rPr>
                <w:b/>
                <w:bCs/>
                <w:color w:val="4472C4" w:themeColor="accent1"/>
              </w:rPr>
            </w:pPr>
            <w:r w:rsidRPr="001F1852">
              <w:rPr>
                <w:b/>
                <w:bCs/>
                <w:color w:val="4472C4" w:themeColor="accent1"/>
              </w:rPr>
              <w:t xml:space="preserve"> (Sponsorship Sessions)</w:t>
            </w:r>
            <w:r>
              <w:rPr>
                <w:b/>
                <w:bCs/>
                <w:color w:val="4472C4" w:themeColor="accent1"/>
              </w:rPr>
              <w:t xml:space="preserve"> </w:t>
            </w:r>
            <w:proofErr w:type="spellStart"/>
            <w:r>
              <w:rPr>
                <w:b/>
                <w:bCs/>
                <w:color w:val="4472C4" w:themeColor="accent1"/>
              </w:rPr>
              <w:t>iWave</w:t>
            </w:r>
            <w:proofErr w:type="spellEnd"/>
          </w:p>
        </w:tc>
      </w:tr>
      <w:tr w:rsidR="00170D99" w14:paraId="43F56FCF" w14:textId="20661016" w:rsidTr="00170D99">
        <w:tc>
          <w:tcPr>
            <w:tcW w:w="2250" w:type="dxa"/>
          </w:tcPr>
          <w:p w14:paraId="10853052" w14:textId="1D6C18E7" w:rsidR="00170D99" w:rsidRPr="007C6E39" w:rsidRDefault="00170D99">
            <w:pPr>
              <w:rPr>
                <w:b/>
                <w:bCs/>
              </w:rPr>
            </w:pPr>
            <w:r>
              <w:rPr>
                <w:b/>
                <w:bCs/>
              </w:rPr>
              <w:t>11:45 pm – 1:00 pm</w:t>
            </w:r>
          </w:p>
        </w:tc>
        <w:tc>
          <w:tcPr>
            <w:tcW w:w="8190" w:type="dxa"/>
          </w:tcPr>
          <w:p w14:paraId="609B616D" w14:textId="223E909B" w:rsidR="00170D99" w:rsidRPr="00E52348" w:rsidRDefault="00170D99">
            <w:pPr>
              <w:rPr>
                <w:b/>
                <w:bCs/>
                <w:color w:val="DD890D"/>
              </w:rPr>
            </w:pPr>
            <w:r w:rsidRPr="00E52348">
              <w:rPr>
                <w:b/>
                <w:bCs/>
              </w:rPr>
              <w:t>Break</w:t>
            </w:r>
            <w:r>
              <w:rPr>
                <w:b/>
                <w:bCs/>
              </w:rPr>
              <w:t>/Lunch</w:t>
            </w:r>
          </w:p>
        </w:tc>
      </w:tr>
      <w:tr w:rsidR="00170D99" w14:paraId="23451C6F" w14:textId="099B61B1" w:rsidTr="00170D99">
        <w:tc>
          <w:tcPr>
            <w:tcW w:w="2250" w:type="dxa"/>
            <w:vMerge w:val="restart"/>
            <w:vAlign w:val="center"/>
          </w:tcPr>
          <w:p w14:paraId="0A66C89E" w14:textId="2D4571E3" w:rsidR="00170D99" w:rsidRPr="007C6E39" w:rsidRDefault="00170D99" w:rsidP="007C6E39">
            <w:pPr>
              <w:jc w:val="center"/>
              <w:rPr>
                <w:b/>
                <w:bCs/>
              </w:rPr>
            </w:pPr>
            <w:r w:rsidRPr="007C6E39">
              <w:rPr>
                <w:b/>
                <w:bCs/>
              </w:rPr>
              <w:lastRenderedPageBreak/>
              <w:t>1:00 pm – 2:00 pm</w:t>
            </w:r>
          </w:p>
        </w:tc>
        <w:tc>
          <w:tcPr>
            <w:tcW w:w="8190" w:type="dxa"/>
            <w:shd w:val="clear" w:color="auto" w:fill="4472C4" w:themeFill="accent1"/>
          </w:tcPr>
          <w:p w14:paraId="3FB779E9" w14:textId="3FD09D08" w:rsidR="00170D99" w:rsidRDefault="00170D99" w:rsidP="002B248D">
            <w:pPr>
              <w:rPr>
                <w:b/>
                <w:bCs/>
                <w:color w:val="FFFFFF" w:themeColor="background1"/>
              </w:rPr>
            </w:pPr>
            <w:r>
              <w:rPr>
                <w:b/>
                <w:bCs/>
                <w:color w:val="FFFFFF" w:themeColor="background1"/>
              </w:rPr>
              <w:t>SESSION 3:</w:t>
            </w:r>
          </w:p>
          <w:p w14:paraId="7998467B" w14:textId="4435AA67" w:rsidR="00170D99" w:rsidRDefault="00170D99" w:rsidP="002B248D">
            <w:pPr>
              <w:rPr>
                <w:b/>
                <w:bCs/>
                <w:color w:val="FFFFFF" w:themeColor="background1"/>
              </w:rPr>
            </w:pPr>
            <w:r>
              <w:rPr>
                <w:b/>
                <w:bCs/>
                <w:color w:val="FFFFFF" w:themeColor="background1"/>
              </w:rPr>
              <w:t>What Fundraisers Need to Know to Maximize Gifts</w:t>
            </w:r>
          </w:p>
          <w:p w14:paraId="0919876D" w14:textId="794BE732" w:rsidR="00170D99" w:rsidRPr="002B248D" w:rsidRDefault="00170D99" w:rsidP="002B248D">
            <w:pPr>
              <w:rPr>
                <w:color w:val="FFFFFF" w:themeColor="background1"/>
              </w:rPr>
            </w:pPr>
            <w:r>
              <w:rPr>
                <w:i/>
                <w:iCs/>
                <w:color w:val="FFFFFF" w:themeColor="background1"/>
              </w:rPr>
              <w:t>Christy Butler Eckoff</w:t>
            </w:r>
            <w:r w:rsidRPr="001F1852">
              <w:rPr>
                <w:b/>
                <w:bCs/>
                <w:i/>
                <w:iCs/>
                <w:color w:val="FFFFFF" w:themeColor="background1"/>
              </w:rPr>
              <w:t>,</w:t>
            </w:r>
            <w:r>
              <w:rPr>
                <w:b/>
                <w:bCs/>
                <w:i/>
                <w:iCs/>
                <w:color w:val="FFFFFF" w:themeColor="background1"/>
              </w:rPr>
              <w:t xml:space="preserve"> </w:t>
            </w:r>
            <w:r w:rsidRPr="001F1852">
              <w:rPr>
                <w:i/>
                <w:iCs/>
                <w:color w:val="FFFFFF" w:themeColor="background1"/>
              </w:rPr>
              <w:t>J.D., LL.M., CAP</w:t>
            </w:r>
            <w:r>
              <w:rPr>
                <w:i/>
                <w:iCs/>
                <w:color w:val="FFFFFF" w:themeColor="background1"/>
              </w:rPr>
              <w:t>,</w:t>
            </w:r>
            <w:r w:rsidRPr="002B248D">
              <w:rPr>
                <w:i/>
                <w:iCs/>
                <w:color w:val="FFFFFF" w:themeColor="background1"/>
              </w:rPr>
              <w:t xml:space="preserve"> </w:t>
            </w:r>
            <w:r>
              <w:rPr>
                <w:i/>
                <w:iCs/>
                <w:color w:val="FFFFFF" w:themeColor="background1"/>
              </w:rPr>
              <w:t>Chief Foundation Officer at Atlanta Jewish Foundation</w:t>
            </w:r>
          </w:p>
          <w:p w14:paraId="242B1158" w14:textId="77777777" w:rsidR="00170D99" w:rsidRPr="0001403D" w:rsidRDefault="00170D99">
            <w:pPr>
              <w:rPr>
                <w:color w:val="FFFFFF" w:themeColor="background1"/>
              </w:rPr>
            </w:pPr>
          </w:p>
        </w:tc>
      </w:tr>
      <w:tr w:rsidR="00170D99" w14:paraId="78AD4F2F" w14:textId="6C7696B6" w:rsidTr="00170D99">
        <w:tc>
          <w:tcPr>
            <w:tcW w:w="2250" w:type="dxa"/>
            <w:vMerge/>
          </w:tcPr>
          <w:p w14:paraId="3C99999C" w14:textId="77777777" w:rsidR="00170D99" w:rsidRPr="007C6E39" w:rsidRDefault="00170D99">
            <w:pPr>
              <w:rPr>
                <w:b/>
                <w:bCs/>
              </w:rPr>
            </w:pPr>
          </w:p>
        </w:tc>
        <w:tc>
          <w:tcPr>
            <w:tcW w:w="8190" w:type="dxa"/>
          </w:tcPr>
          <w:p w14:paraId="6BA6CA57" w14:textId="6A90789E" w:rsidR="00170D99" w:rsidRDefault="00170D99" w:rsidP="001F1852">
            <w:r w:rsidRPr="001562CE">
              <w:t xml:space="preserve">Did you know that 80% of gifts come from a person’s income but 80% of someone’s wealth is usually in their assets?  Gifts from assets and other planned gifts can be 200 times an annual gift.  How can we give development officers the tools to identify these assets and donors who can make these types of </w:t>
            </w:r>
            <w:proofErr w:type="gramStart"/>
            <w:r w:rsidRPr="001562CE">
              <w:t>gifts.</w:t>
            </w:r>
            <w:proofErr w:type="gramEnd"/>
            <w:r w:rsidRPr="001562CE">
              <w:t>  We will examine different types of assets that make impactful gifts, how the new tax laws may impact these gifts, and other “planned gifts” What types of information do development officers need to know to start conversations with donors?  How can we identify these prospects and maximize a donor’s philanthropy? </w:t>
            </w:r>
          </w:p>
        </w:tc>
      </w:tr>
      <w:tr w:rsidR="00170D99" w14:paraId="5A52E4FB" w14:textId="10EA4721" w:rsidTr="00170D99">
        <w:tc>
          <w:tcPr>
            <w:tcW w:w="2250" w:type="dxa"/>
          </w:tcPr>
          <w:p w14:paraId="4D8C59E3" w14:textId="3AE76B5A" w:rsidR="00170D99" w:rsidRPr="007C6E39" w:rsidRDefault="00170D99">
            <w:pPr>
              <w:rPr>
                <w:b/>
                <w:bCs/>
              </w:rPr>
            </w:pPr>
            <w:r w:rsidRPr="007C6E39">
              <w:rPr>
                <w:b/>
                <w:bCs/>
              </w:rPr>
              <w:t>2:00 pm – 2:15 pm</w:t>
            </w:r>
          </w:p>
        </w:tc>
        <w:tc>
          <w:tcPr>
            <w:tcW w:w="8190" w:type="dxa"/>
          </w:tcPr>
          <w:p w14:paraId="1C6142F8" w14:textId="3B6EF185" w:rsidR="00170D99" w:rsidRPr="007C6E39" w:rsidRDefault="00170D99">
            <w:pPr>
              <w:rPr>
                <w:b/>
                <w:bCs/>
              </w:rPr>
            </w:pPr>
            <w:r w:rsidRPr="007C6E39">
              <w:rPr>
                <w:b/>
                <w:bCs/>
              </w:rPr>
              <w:t>Break</w:t>
            </w:r>
          </w:p>
        </w:tc>
      </w:tr>
      <w:tr w:rsidR="00170D99" w14:paraId="3FD0AAF3" w14:textId="4A19CC18" w:rsidTr="00170D99">
        <w:tc>
          <w:tcPr>
            <w:tcW w:w="2250" w:type="dxa"/>
            <w:vMerge w:val="restart"/>
            <w:vAlign w:val="center"/>
          </w:tcPr>
          <w:p w14:paraId="2BC3A75A" w14:textId="302F6C01" w:rsidR="00170D99" w:rsidRPr="007C6E39" w:rsidRDefault="00170D99" w:rsidP="007C6E39">
            <w:pPr>
              <w:jc w:val="center"/>
              <w:rPr>
                <w:b/>
                <w:bCs/>
              </w:rPr>
            </w:pPr>
            <w:r w:rsidRPr="007C6E39">
              <w:rPr>
                <w:b/>
                <w:bCs/>
              </w:rPr>
              <w:t>2:15 pm – 3:15 pm</w:t>
            </w:r>
          </w:p>
        </w:tc>
        <w:tc>
          <w:tcPr>
            <w:tcW w:w="8190" w:type="dxa"/>
            <w:shd w:val="clear" w:color="auto" w:fill="4472C4" w:themeFill="accent1"/>
          </w:tcPr>
          <w:p w14:paraId="468C5463" w14:textId="48C2F9AE" w:rsidR="00170D99" w:rsidRDefault="00170D99" w:rsidP="002B248D">
            <w:pPr>
              <w:rPr>
                <w:b/>
                <w:bCs/>
                <w:color w:val="FFFFFF" w:themeColor="background1"/>
              </w:rPr>
            </w:pPr>
            <w:r>
              <w:rPr>
                <w:b/>
                <w:bCs/>
                <w:color w:val="FFFFFF" w:themeColor="background1"/>
              </w:rPr>
              <w:t>SESSION 4:</w:t>
            </w:r>
          </w:p>
          <w:p w14:paraId="776D9079" w14:textId="0D373272" w:rsidR="00170D99" w:rsidRPr="002B248D" w:rsidRDefault="00170D99" w:rsidP="002B248D">
            <w:pPr>
              <w:rPr>
                <w:color w:val="FFFFFF" w:themeColor="background1"/>
              </w:rPr>
            </w:pPr>
            <w:bookmarkStart w:id="0" w:name="_Hlk81485392"/>
            <w:r w:rsidRPr="001F1852">
              <w:rPr>
                <w:b/>
                <w:bCs/>
                <w:color w:val="FFFFFF" w:themeColor="background1"/>
              </w:rPr>
              <w:t>Demystifying DEI in Prospect Development</w:t>
            </w:r>
            <w:bookmarkEnd w:id="0"/>
            <w:r w:rsidRPr="002B248D">
              <w:rPr>
                <w:color w:val="FFFFFF" w:themeColor="background1"/>
              </w:rPr>
              <w:t xml:space="preserve"> </w:t>
            </w:r>
            <w:r w:rsidRPr="002B248D">
              <w:rPr>
                <w:color w:val="FFFFFF" w:themeColor="background1"/>
              </w:rPr>
              <w:br/>
            </w:r>
            <w:r>
              <w:rPr>
                <w:i/>
                <w:iCs/>
                <w:color w:val="FFFFFF" w:themeColor="background1"/>
              </w:rPr>
              <w:t>Chandra Montgomery</w:t>
            </w:r>
            <w:r w:rsidRPr="002B248D">
              <w:rPr>
                <w:i/>
                <w:iCs/>
                <w:color w:val="FFFFFF" w:themeColor="background1"/>
              </w:rPr>
              <w:t xml:space="preserve">, </w:t>
            </w:r>
            <w:r>
              <w:rPr>
                <w:i/>
                <w:iCs/>
                <w:color w:val="FFFFFF" w:themeColor="background1"/>
              </w:rPr>
              <w:t>Executive Consultant at Lindauer Global</w:t>
            </w:r>
          </w:p>
          <w:p w14:paraId="0BF7E31E" w14:textId="77777777" w:rsidR="00170D99" w:rsidRDefault="00170D99"/>
        </w:tc>
      </w:tr>
      <w:tr w:rsidR="00170D99" w14:paraId="1D8EBFEB" w14:textId="5160190A" w:rsidTr="00170D99">
        <w:tc>
          <w:tcPr>
            <w:tcW w:w="2250" w:type="dxa"/>
            <w:vMerge/>
          </w:tcPr>
          <w:p w14:paraId="78F61EBB" w14:textId="77777777" w:rsidR="00170D99" w:rsidRPr="007C6E39" w:rsidRDefault="00170D99">
            <w:pPr>
              <w:rPr>
                <w:b/>
                <w:bCs/>
              </w:rPr>
            </w:pPr>
          </w:p>
        </w:tc>
        <w:tc>
          <w:tcPr>
            <w:tcW w:w="8190" w:type="dxa"/>
          </w:tcPr>
          <w:p w14:paraId="1505E0D3" w14:textId="0062DB3E" w:rsidR="00170D99" w:rsidRDefault="00170D99">
            <w:r w:rsidRPr="001F1852">
              <w:t xml:space="preserve">The imperative to build greater diversity, equity, and inclusion (DEI) within our organizations has real implications for the practice of prospect development. While we may be clear on the "why" of embedding DEI principles in our work, many of us may be challenged by the "what" and the "how." In this interactive session, we will </w:t>
            </w:r>
            <w:r>
              <w:t>think about the</w:t>
            </w:r>
            <w:r w:rsidRPr="001F1852">
              <w:t xml:space="preserve"> framework to develop strategies and tactics that leverage core prospect development competencies to advance equity and inclusion. Participants will explore concrete examples and problem-solve to develop strategies that propel our organizations to maximize engagement and philanthropic opportunities</w:t>
            </w:r>
          </w:p>
        </w:tc>
      </w:tr>
      <w:tr w:rsidR="00170D99" w14:paraId="212D238E" w14:textId="0FE0F935" w:rsidTr="00170D99">
        <w:tc>
          <w:tcPr>
            <w:tcW w:w="2250" w:type="dxa"/>
          </w:tcPr>
          <w:p w14:paraId="086555DE" w14:textId="79BE573E" w:rsidR="00170D99" w:rsidRPr="00E52348" w:rsidRDefault="00170D99">
            <w:pPr>
              <w:rPr>
                <w:b/>
                <w:bCs/>
              </w:rPr>
            </w:pPr>
            <w:r w:rsidRPr="00E52348">
              <w:rPr>
                <w:b/>
                <w:bCs/>
              </w:rPr>
              <w:t>3:15 pm – 3:30 pm</w:t>
            </w:r>
          </w:p>
        </w:tc>
        <w:tc>
          <w:tcPr>
            <w:tcW w:w="8190" w:type="dxa"/>
          </w:tcPr>
          <w:p w14:paraId="329BE1AB" w14:textId="72D88D84" w:rsidR="00170D99" w:rsidRPr="001F1852" w:rsidRDefault="00170D99">
            <w:pPr>
              <w:rPr>
                <w:b/>
                <w:bCs/>
                <w:color w:val="4472C4" w:themeColor="accent1"/>
              </w:rPr>
            </w:pPr>
            <w:r w:rsidRPr="001F1852">
              <w:rPr>
                <w:b/>
                <w:bCs/>
                <w:color w:val="4472C4" w:themeColor="accent1"/>
              </w:rPr>
              <w:t>APRA Florida Updates/Closing Remarks</w:t>
            </w:r>
          </w:p>
        </w:tc>
      </w:tr>
      <w:tr w:rsidR="00170D99" w14:paraId="30F79D60" w14:textId="5A789596" w:rsidTr="00170D99">
        <w:tc>
          <w:tcPr>
            <w:tcW w:w="2250" w:type="dxa"/>
          </w:tcPr>
          <w:p w14:paraId="00C910F0" w14:textId="273DA34D" w:rsidR="00170D99" w:rsidRPr="00E52348" w:rsidRDefault="00170D99">
            <w:pPr>
              <w:rPr>
                <w:b/>
                <w:bCs/>
              </w:rPr>
            </w:pPr>
            <w:r>
              <w:rPr>
                <w:b/>
                <w:bCs/>
              </w:rPr>
              <w:t>3:30 pm – 4:30 pm</w:t>
            </w:r>
          </w:p>
        </w:tc>
        <w:tc>
          <w:tcPr>
            <w:tcW w:w="8190" w:type="dxa"/>
          </w:tcPr>
          <w:p w14:paraId="3C9B6828" w14:textId="6F2D8B5E" w:rsidR="00170D99" w:rsidRPr="001F1852" w:rsidRDefault="00170D99">
            <w:pPr>
              <w:rPr>
                <w:b/>
                <w:bCs/>
                <w:color w:val="4472C4" w:themeColor="accent1"/>
              </w:rPr>
            </w:pPr>
            <w:r w:rsidRPr="001F1852">
              <w:rPr>
                <w:b/>
                <w:bCs/>
                <w:color w:val="4472C4" w:themeColor="accent1"/>
              </w:rPr>
              <w:t>Networking</w:t>
            </w:r>
          </w:p>
        </w:tc>
      </w:tr>
    </w:tbl>
    <w:p w14:paraId="5440D207" w14:textId="75CA0BBC" w:rsidR="00623267" w:rsidRDefault="00E52348">
      <w:r>
        <w:t>*Schedule is subject to change</w:t>
      </w:r>
    </w:p>
    <w:p w14:paraId="7D4D857E" w14:textId="61DC4542" w:rsidR="00623267" w:rsidRDefault="00623267"/>
    <w:sectPr w:rsidR="0062326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74C1" w14:textId="77777777" w:rsidR="00FC1156" w:rsidRDefault="00FC1156" w:rsidP="00C36005">
      <w:pPr>
        <w:spacing w:after="0" w:line="240" w:lineRule="auto"/>
      </w:pPr>
      <w:r>
        <w:separator/>
      </w:r>
    </w:p>
  </w:endnote>
  <w:endnote w:type="continuationSeparator" w:id="0">
    <w:p w14:paraId="4E5B34F3" w14:textId="77777777" w:rsidR="00FC1156" w:rsidRDefault="00FC1156" w:rsidP="00C3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5509" w14:textId="77777777" w:rsidR="00FC1156" w:rsidRDefault="00FC1156" w:rsidP="00C36005">
      <w:pPr>
        <w:spacing w:after="0" w:line="240" w:lineRule="auto"/>
      </w:pPr>
      <w:r>
        <w:separator/>
      </w:r>
    </w:p>
  </w:footnote>
  <w:footnote w:type="continuationSeparator" w:id="0">
    <w:p w14:paraId="35852385" w14:textId="77777777" w:rsidR="00FC1156" w:rsidRDefault="00FC1156" w:rsidP="00C3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3979" w14:textId="1F93E9EF" w:rsidR="00C36005" w:rsidRPr="00C36005" w:rsidRDefault="00C36005" w:rsidP="00C36005">
    <w:pPr>
      <w:spacing w:after="0" w:line="240" w:lineRule="auto"/>
      <w:jc w:val="center"/>
      <w:rPr>
        <w:b/>
        <w:bCs/>
        <w:color w:val="DD890D"/>
        <w:sz w:val="28"/>
        <w:szCs w:val="28"/>
      </w:rPr>
    </w:pPr>
    <w:r w:rsidRPr="00C36005">
      <w:rPr>
        <w:b/>
        <w:bCs/>
        <w:noProof/>
        <w:color w:val="DD890D"/>
        <w:sz w:val="28"/>
        <w:szCs w:val="28"/>
      </w:rPr>
      <w:drawing>
        <wp:anchor distT="0" distB="0" distL="114300" distR="114300" simplePos="0" relativeHeight="251658240" behindDoc="0" locked="0" layoutInCell="1" allowOverlap="1" wp14:anchorId="13D90CEF" wp14:editId="4648ED6E">
          <wp:simplePos x="0" y="0"/>
          <wp:positionH relativeFrom="column">
            <wp:posOffset>-762000</wp:posOffset>
          </wp:positionH>
          <wp:positionV relativeFrom="paragraph">
            <wp:posOffset>-247650</wp:posOffset>
          </wp:positionV>
          <wp:extent cx="2343785" cy="1003935"/>
          <wp:effectExtent l="0" t="0" r="0" b="5715"/>
          <wp:wrapNone/>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3785" cy="1003935"/>
                  </a:xfrm>
                  <a:prstGeom prst="rect">
                    <a:avLst/>
                  </a:prstGeom>
                </pic:spPr>
              </pic:pic>
            </a:graphicData>
          </a:graphic>
          <wp14:sizeRelH relativeFrom="page">
            <wp14:pctWidth>0</wp14:pctWidth>
          </wp14:sizeRelH>
          <wp14:sizeRelV relativeFrom="page">
            <wp14:pctHeight>0</wp14:pctHeight>
          </wp14:sizeRelV>
        </wp:anchor>
      </w:drawing>
    </w:r>
    <w:r w:rsidRPr="00C36005">
      <w:rPr>
        <w:b/>
        <w:bCs/>
        <w:color w:val="DD890D"/>
        <w:sz w:val="28"/>
        <w:szCs w:val="28"/>
      </w:rPr>
      <w:t xml:space="preserve">APRA-FL </w:t>
    </w:r>
    <w:r w:rsidR="000A0E7C">
      <w:rPr>
        <w:b/>
        <w:bCs/>
        <w:color w:val="DD890D"/>
        <w:sz w:val="28"/>
        <w:szCs w:val="28"/>
      </w:rPr>
      <w:t xml:space="preserve">Fall </w:t>
    </w:r>
    <w:r w:rsidRPr="00C36005">
      <w:rPr>
        <w:b/>
        <w:bCs/>
        <w:color w:val="DD890D"/>
        <w:sz w:val="28"/>
        <w:szCs w:val="28"/>
      </w:rPr>
      <w:t>Conference</w:t>
    </w:r>
  </w:p>
  <w:p w14:paraId="6E94A375" w14:textId="6F2CF7A8" w:rsidR="00C36005" w:rsidRPr="00C36005" w:rsidRDefault="000A0E7C" w:rsidP="00C36005">
    <w:pPr>
      <w:spacing w:after="0" w:line="240" w:lineRule="auto"/>
      <w:jc w:val="center"/>
      <w:rPr>
        <w:b/>
        <w:bCs/>
        <w:color w:val="DD890D"/>
        <w:sz w:val="28"/>
        <w:szCs w:val="28"/>
      </w:rPr>
    </w:pPr>
    <w:r>
      <w:rPr>
        <w:b/>
        <w:bCs/>
        <w:color w:val="DD890D"/>
        <w:sz w:val="28"/>
        <w:szCs w:val="28"/>
      </w:rPr>
      <w:t>October</w:t>
    </w:r>
    <w:r w:rsidR="00C36005" w:rsidRPr="00C36005">
      <w:rPr>
        <w:b/>
        <w:bCs/>
        <w:color w:val="DD890D"/>
        <w:sz w:val="28"/>
        <w:szCs w:val="28"/>
      </w:rPr>
      <w:t xml:space="preserve"> 1</w:t>
    </w:r>
    <w:r>
      <w:rPr>
        <w:b/>
        <w:bCs/>
        <w:color w:val="DD890D"/>
        <w:sz w:val="28"/>
        <w:szCs w:val="28"/>
      </w:rPr>
      <w:t>5</w:t>
    </w:r>
    <w:r w:rsidR="00C36005" w:rsidRPr="00C36005">
      <w:rPr>
        <w:b/>
        <w:bCs/>
        <w:color w:val="DD890D"/>
        <w:sz w:val="28"/>
        <w:szCs w:val="28"/>
      </w:rPr>
      <w:t>, 2021</w:t>
    </w:r>
  </w:p>
  <w:p w14:paraId="574FAACD" w14:textId="77777777" w:rsidR="00C36005" w:rsidRPr="00C36005" w:rsidRDefault="00C36005" w:rsidP="00C36005">
    <w:pPr>
      <w:spacing w:after="0" w:line="240" w:lineRule="auto"/>
      <w:jc w:val="center"/>
      <w:rPr>
        <w:b/>
        <w:bCs/>
        <w:color w:val="DD890D"/>
        <w:sz w:val="28"/>
        <w:szCs w:val="28"/>
      </w:rPr>
    </w:pPr>
    <w:r w:rsidRPr="00C36005">
      <w:rPr>
        <w:b/>
        <w:bCs/>
        <w:color w:val="DD890D"/>
        <w:sz w:val="28"/>
        <w:szCs w:val="28"/>
      </w:rPr>
      <w:t>Schedule-at-a-Glance</w:t>
    </w:r>
  </w:p>
  <w:p w14:paraId="47D16D36" w14:textId="795F6B77" w:rsidR="00C36005" w:rsidRPr="00C36005" w:rsidRDefault="00C36005" w:rsidP="00C360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CC"/>
    <w:rsid w:val="0001403D"/>
    <w:rsid w:val="0004150B"/>
    <w:rsid w:val="00071092"/>
    <w:rsid w:val="000A0E7C"/>
    <w:rsid w:val="001562CE"/>
    <w:rsid w:val="00170D99"/>
    <w:rsid w:val="001F1852"/>
    <w:rsid w:val="00205A1C"/>
    <w:rsid w:val="00294703"/>
    <w:rsid w:val="002B248D"/>
    <w:rsid w:val="00373CE0"/>
    <w:rsid w:val="004304F8"/>
    <w:rsid w:val="00463F41"/>
    <w:rsid w:val="00564C55"/>
    <w:rsid w:val="005B6BCC"/>
    <w:rsid w:val="005C71FB"/>
    <w:rsid w:val="00623267"/>
    <w:rsid w:val="00723286"/>
    <w:rsid w:val="00761428"/>
    <w:rsid w:val="0078051B"/>
    <w:rsid w:val="007C6E39"/>
    <w:rsid w:val="007D6747"/>
    <w:rsid w:val="00931B66"/>
    <w:rsid w:val="009409AD"/>
    <w:rsid w:val="009A0CAF"/>
    <w:rsid w:val="00A037C6"/>
    <w:rsid w:val="00A17B5B"/>
    <w:rsid w:val="00B27234"/>
    <w:rsid w:val="00BE1F42"/>
    <w:rsid w:val="00C36005"/>
    <w:rsid w:val="00C55BFD"/>
    <w:rsid w:val="00CD6D3B"/>
    <w:rsid w:val="00E52348"/>
    <w:rsid w:val="00E8282B"/>
    <w:rsid w:val="00EE3EA6"/>
    <w:rsid w:val="00F672EE"/>
    <w:rsid w:val="00F711F4"/>
    <w:rsid w:val="00FC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EBE0D"/>
  <w15:chartTrackingRefBased/>
  <w15:docId w15:val="{719A3B10-E286-4BEA-8CA8-F4257294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005"/>
  </w:style>
  <w:style w:type="paragraph" w:styleId="Footer">
    <w:name w:val="footer"/>
    <w:basedOn w:val="Normal"/>
    <w:link w:val="FooterChar"/>
    <w:uiPriority w:val="99"/>
    <w:unhideWhenUsed/>
    <w:rsid w:val="00C36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005"/>
  </w:style>
  <w:style w:type="table" w:styleId="TableGrid">
    <w:name w:val="Table Grid"/>
    <w:basedOn w:val="TableNormal"/>
    <w:uiPriority w:val="39"/>
    <w:rsid w:val="00CD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0D99"/>
    <w:rPr>
      <w:sz w:val="16"/>
      <w:szCs w:val="16"/>
    </w:rPr>
  </w:style>
  <w:style w:type="paragraph" w:styleId="CommentText">
    <w:name w:val="annotation text"/>
    <w:basedOn w:val="Normal"/>
    <w:link w:val="CommentTextChar"/>
    <w:uiPriority w:val="99"/>
    <w:semiHidden/>
    <w:unhideWhenUsed/>
    <w:rsid w:val="00170D99"/>
    <w:pPr>
      <w:spacing w:line="240" w:lineRule="auto"/>
    </w:pPr>
    <w:rPr>
      <w:sz w:val="20"/>
      <w:szCs w:val="20"/>
    </w:rPr>
  </w:style>
  <w:style w:type="character" w:customStyle="1" w:styleId="CommentTextChar">
    <w:name w:val="Comment Text Char"/>
    <w:basedOn w:val="DefaultParagraphFont"/>
    <w:link w:val="CommentText"/>
    <w:uiPriority w:val="99"/>
    <w:semiHidden/>
    <w:rsid w:val="00170D99"/>
    <w:rPr>
      <w:sz w:val="20"/>
      <w:szCs w:val="20"/>
    </w:rPr>
  </w:style>
  <w:style w:type="paragraph" w:styleId="CommentSubject">
    <w:name w:val="annotation subject"/>
    <w:basedOn w:val="CommentText"/>
    <w:next w:val="CommentText"/>
    <w:link w:val="CommentSubjectChar"/>
    <w:uiPriority w:val="99"/>
    <w:semiHidden/>
    <w:unhideWhenUsed/>
    <w:rsid w:val="00170D99"/>
    <w:rPr>
      <w:b/>
      <w:bCs/>
    </w:rPr>
  </w:style>
  <w:style w:type="character" w:customStyle="1" w:styleId="CommentSubjectChar">
    <w:name w:val="Comment Subject Char"/>
    <w:basedOn w:val="CommentTextChar"/>
    <w:link w:val="CommentSubject"/>
    <w:uiPriority w:val="99"/>
    <w:semiHidden/>
    <w:rsid w:val="00170D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8863">
      <w:bodyDiv w:val="1"/>
      <w:marLeft w:val="0"/>
      <w:marRight w:val="0"/>
      <w:marTop w:val="0"/>
      <w:marBottom w:val="0"/>
      <w:divBdr>
        <w:top w:val="none" w:sz="0" w:space="0" w:color="auto"/>
        <w:left w:val="none" w:sz="0" w:space="0" w:color="auto"/>
        <w:bottom w:val="none" w:sz="0" w:space="0" w:color="auto"/>
        <w:right w:val="none" w:sz="0" w:space="0" w:color="auto"/>
      </w:divBdr>
      <w:divsChild>
        <w:div w:id="892278289">
          <w:marLeft w:val="0"/>
          <w:marRight w:val="0"/>
          <w:marTop w:val="0"/>
          <w:marBottom w:val="15"/>
          <w:divBdr>
            <w:top w:val="none" w:sz="0" w:space="0" w:color="auto"/>
            <w:left w:val="none" w:sz="0" w:space="0" w:color="auto"/>
            <w:bottom w:val="none" w:sz="0" w:space="0" w:color="auto"/>
            <w:right w:val="none" w:sz="0" w:space="0" w:color="auto"/>
          </w:divBdr>
        </w:div>
      </w:divsChild>
    </w:div>
    <w:div w:id="486168858">
      <w:bodyDiv w:val="1"/>
      <w:marLeft w:val="0"/>
      <w:marRight w:val="0"/>
      <w:marTop w:val="0"/>
      <w:marBottom w:val="0"/>
      <w:divBdr>
        <w:top w:val="none" w:sz="0" w:space="0" w:color="auto"/>
        <w:left w:val="none" w:sz="0" w:space="0" w:color="auto"/>
        <w:bottom w:val="none" w:sz="0" w:space="0" w:color="auto"/>
        <w:right w:val="none" w:sz="0" w:space="0" w:color="auto"/>
      </w:divBdr>
      <w:divsChild>
        <w:div w:id="862978889">
          <w:marLeft w:val="0"/>
          <w:marRight w:val="0"/>
          <w:marTop w:val="0"/>
          <w:marBottom w:val="15"/>
          <w:divBdr>
            <w:top w:val="none" w:sz="0" w:space="0" w:color="auto"/>
            <w:left w:val="none" w:sz="0" w:space="0" w:color="auto"/>
            <w:bottom w:val="none" w:sz="0" w:space="0" w:color="auto"/>
            <w:right w:val="none" w:sz="0" w:space="0" w:color="auto"/>
          </w:divBdr>
        </w:div>
      </w:divsChild>
    </w:div>
    <w:div w:id="937560755">
      <w:bodyDiv w:val="1"/>
      <w:marLeft w:val="0"/>
      <w:marRight w:val="0"/>
      <w:marTop w:val="0"/>
      <w:marBottom w:val="0"/>
      <w:divBdr>
        <w:top w:val="none" w:sz="0" w:space="0" w:color="auto"/>
        <w:left w:val="none" w:sz="0" w:space="0" w:color="auto"/>
        <w:bottom w:val="none" w:sz="0" w:space="0" w:color="auto"/>
        <w:right w:val="none" w:sz="0" w:space="0" w:color="auto"/>
      </w:divBdr>
      <w:divsChild>
        <w:div w:id="1929802481">
          <w:marLeft w:val="0"/>
          <w:marRight w:val="0"/>
          <w:marTop w:val="0"/>
          <w:marBottom w:val="15"/>
          <w:divBdr>
            <w:top w:val="none" w:sz="0" w:space="0" w:color="auto"/>
            <w:left w:val="none" w:sz="0" w:space="0" w:color="auto"/>
            <w:bottom w:val="none" w:sz="0" w:space="0" w:color="auto"/>
            <w:right w:val="none" w:sz="0" w:space="0" w:color="auto"/>
          </w:divBdr>
        </w:div>
      </w:divsChild>
    </w:div>
    <w:div w:id="13104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Aisha N.</dc:creator>
  <cp:keywords/>
  <dc:description/>
  <cp:lastModifiedBy>Osorno, Jose</cp:lastModifiedBy>
  <cp:revision>4</cp:revision>
  <cp:lastPrinted>2021-10-06T17:34:00Z</cp:lastPrinted>
  <dcterms:created xsi:type="dcterms:W3CDTF">2021-10-12T15:25:00Z</dcterms:created>
  <dcterms:modified xsi:type="dcterms:W3CDTF">2021-10-13T13:58:00Z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af185-20e4-4425-9df0-1c1627eb69c0_Enabled">
    <vt:lpwstr>true</vt:lpwstr>
  </property>
  <property fmtid="{D5CDD505-2E9C-101B-9397-08002B2CF9AE}" pid="3" name="MSIP_Label_bbfaf185-20e4-4425-9df0-1c1627eb69c0_SetDate">
    <vt:lpwstr>2021-03-02T19:05:44Z</vt:lpwstr>
  </property>
  <property fmtid="{D5CDD505-2E9C-101B-9397-08002B2CF9AE}" pid="4" name="MSIP_Label_bbfaf185-20e4-4425-9df0-1c1627eb69c0_Method">
    <vt:lpwstr>Standard</vt:lpwstr>
  </property>
  <property fmtid="{D5CDD505-2E9C-101B-9397-08002B2CF9AE}" pid="5" name="MSIP_Label_bbfaf185-20e4-4425-9df0-1c1627eb69c0_Name">
    <vt:lpwstr>Confidential</vt:lpwstr>
  </property>
  <property fmtid="{D5CDD505-2E9C-101B-9397-08002B2CF9AE}" pid="6" name="MSIP_Label_bbfaf185-20e4-4425-9df0-1c1627eb69c0_SiteId">
    <vt:lpwstr>a1aa81d8-7897-410b-a2b2-1d190024b7f8</vt:lpwstr>
  </property>
  <property fmtid="{D5CDD505-2E9C-101B-9397-08002B2CF9AE}" pid="7" name="MSIP_Label_bbfaf185-20e4-4425-9df0-1c1627eb69c0_ActionId">
    <vt:lpwstr>a911e4dd-a876-4da6-8b7f-b13502a1713b</vt:lpwstr>
  </property>
  <property fmtid="{D5CDD505-2E9C-101B-9397-08002B2CF9AE}" pid="8" name="MSIP_Label_bbfaf185-20e4-4425-9df0-1c1627eb69c0_ContentBits">
    <vt:lpwstr>0</vt:lpwstr>
  </property>
</Properties>
</file>